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C9C1" w14:textId="7B17657E" w:rsidR="00D87F73" w:rsidRPr="00D87F73" w:rsidRDefault="005522D4" w:rsidP="00D87F73">
      <w:pPr>
        <w:jc w:val="center"/>
        <w:rPr>
          <w:b/>
          <w:bCs/>
          <w:sz w:val="32"/>
          <w:szCs w:val="32"/>
        </w:rPr>
      </w:pPr>
      <w:r>
        <w:rPr>
          <w:b/>
          <w:bCs/>
          <w:sz w:val="32"/>
          <w:szCs w:val="32"/>
        </w:rPr>
        <w:t>Energy Storage in the Renewable Energy Certainty Act</w:t>
      </w:r>
    </w:p>
    <w:p w14:paraId="51060706" w14:textId="2B1E2173" w:rsidR="00D87F73" w:rsidRPr="00D87F73" w:rsidRDefault="005522D4" w:rsidP="00D87F73">
      <w:r>
        <w:t>The Renewable Energy Certainty Act (Act) includes n</w:t>
      </w:r>
      <w:r w:rsidR="00D87F73" w:rsidRPr="00D87F73">
        <w:t xml:space="preserve">otification requirements </w:t>
      </w:r>
      <w:r>
        <w:t>stipulating that</w:t>
      </w:r>
      <w:r w:rsidR="00D87F73" w:rsidRPr="00D87F73">
        <w:t xml:space="preserve"> an applicant for construction approval </w:t>
      </w:r>
      <w:r>
        <w:t xml:space="preserve">must </w:t>
      </w:r>
      <w:r w:rsidR="00D87F73" w:rsidRPr="00D87F73">
        <w:t xml:space="preserve">provide immediate notice of the application to certain governing bodies, members of the general assembly and affected communities that are within 1 mile of the proposed location of the energy storage device. In addition, if the proposed location of the front–of–the–meter energy storage device is in an area considered to be overburdened and underserved, as defined in § 1–701 of the Environment Article, </w:t>
      </w:r>
      <w:r>
        <w:t xml:space="preserve">the Act </w:t>
      </w:r>
      <w:r w:rsidR="00D87F73" w:rsidRPr="00D87F73">
        <w:t>require</w:t>
      </w:r>
      <w:r>
        <w:t>s</w:t>
      </w:r>
      <w:r w:rsidR="00D87F73" w:rsidRPr="00D87F73">
        <w:t xml:space="preserve"> the applicant to hold at least two public meetings in the community where the energy storage device is to be located, unless exempted as described in the Act. In addition, there are site requirements specified in the Act if the proposed front–of–the–meter energy storage device will not be constructed at a commercial or industrial location. Finally, the Commission may waive or modify the requirements in the Act for good cause.</w:t>
      </w:r>
    </w:p>
    <w:p w14:paraId="37632030" w14:textId="0DD8A02A" w:rsidR="00D87F73" w:rsidRDefault="00D87F73" w:rsidP="00D87F73">
      <w:r w:rsidRPr="00D87F73">
        <w:t xml:space="preserve">In addition to the Act’s requirements, the Commission has established safety requirements in </w:t>
      </w:r>
      <w:r w:rsidR="005522D4">
        <w:t>COMAR 20.50.14</w:t>
      </w:r>
      <w:r w:rsidRPr="00D87F73">
        <w:t xml:space="preserve"> that</w:t>
      </w:r>
      <w:r w:rsidR="005522D4">
        <w:t>,</w:t>
      </w:r>
      <w:r w:rsidRPr="00D87F73">
        <w:t xml:space="preserve"> if applicable, an energy storage device shall adhere to the design, construction, operation and maintenance standards in the latest version of National Fire Protection Association (NFPA) 855 Standard for the Installation of Stationary Energy Storage Systems, among other things.</w:t>
      </w:r>
      <w:r w:rsidR="005522D4">
        <w:t xml:space="preserve"> COMAR 20.20.24 went into effect February 16, 2026.</w:t>
      </w:r>
    </w:p>
    <w:p w14:paraId="32B5439C" w14:textId="4A85300B" w:rsidR="00174ED5" w:rsidRPr="00174ED5" w:rsidRDefault="005522D4" w:rsidP="00174ED5">
      <w:r w:rsidRPr="00D87F73">
        <w:t xml:space="preserve">To implement the Act's approval requirements, the Commission has developed an application form to facilitate the Commission's construction approval process in addition to waiver requests. </w:t>
      </w:r>
      <w:r>
        <w:t>U</w:t>
      </w:r>
      <w:r w:rsidR="00174ED5" w:rsidRPr="00174ED5">
        <w:t>nless an energy storage project requires a Certificate of Convenience and Necessity (CPCN)</w:t>
      </w:r>
      <w:r>
        <w:t>, which is required</w:t>
      </w:r>
      <w:r w:rsidR="00174ED5" w:rsidRPr="00174ED5">
        <w:t xml:space="preserve"> for some </w:t>
      </w:r>
      <w:proofErr w:type="spellStart"/>
      <w:r w:rsidR="00174ED5" w:rsidRPr="00174ED5">
        <w:t>solar+storage</w:t>
      </w:r>
      <w:proofErr w:type="spellEnd"/>
      <w:r w:rsidR="00174ED5" w:rsidRPr="00174ED5">
        <w:t xml:space="preserve"> projects, there are 3 pathways for front-of-the-meter energy storage device approvals:</w:t>
      </w:r>
    </w:p>
    <w:p w14:paraId="6EEF8BAA" w14:textId="77777777" w:rsidR="00174ED5" w:rsidRPr="00174ED5" w:rsidRDefault="00174ED5" w:rsidP="00174ED5">
      <w:pPr>
        <w:numPr>
          <w:ilvl w:val="0"/>
          <w:numId w:val="2"/>
        </w:numPr>
      </w:pPr>
      <w:r w:rsidRPr="00174ED5">
        <w:t> The Commission's Consent Agenda (generally for smaller uncomplicated projects and</w:t>
      </w:r>
      <w:r w:rsidRPr="00174ED5">
        <w:br/>
        <w:t>waiver requests with no opposition)</w:t>
      </w:r>
    </w:p>
    <w:p w14:paraId="76CDEA59" w14:textId="77777777" w:rsidR="00174ED5" w:rsidRPr="00174ED5" w:rsidRDefault="00174ED5" w:rsidP="00174ED5">
      <w:pPr>
        <w:numPr>
          <w:ilvl w:val="0"/>
          <w:numId w:val="2"/>
        </w:numPr>
      </w:pPr>
      <w:r w:rsidRPr="00174ED5">
        <w:t> The Commission's Administrative Agenda (the normal pathway)</w:t>
      </w:r>
    </w:p>
    <w:p w14:paraId="7F0941E9" w14:textId="5E58D9DF" w:rsidR="00174ED5" w:rsidRDefault="00174ED5" w:rsidP="00D87F73">
      <w:pPr>
        <w:numPr>
          <w:ilvl w:val="0"/>
          <w:numId w:val="2"/>
        </w:numPr>
      </w:pPr>
      <w:r w:rsidRPr="00174ED5">
        <w:t> A Docketed Case (generally energy storage devices greater than or equal to 20 MWh AC)</w:t>
      </w:r>
    </w:p>
    <w:p w14:paraId="3CCF28AC" w14:textId="67ECB5D9" w:rsidR="00D87F73" w:rsidRPr="00D87F73" w:rsidRDefault="00D87F73" w:rsidP="00D87F73">
      <w:r w:rsidRPr="00D87F73">
        <w:t xml:space="preserve">Once an applicant files an application to construct or requests a waiver the matter will either be scheduled on an </w:t>
      </w:r>
      <w:hyperlink r:id="rId5" w:history="1">
        <w:r w:rsidRPr="00D87F73">
          <w:rPr>
            <w:rStyle w:val="Hyperlink"/>
          </w:rPr>
          <w:t>Administrative Agenda</w:t>
        </w:r>
      </w:hyperlink>
      <w:r w:rsidRPr="00D87F73">
        <w:t xml:space="preserve"> unless a Commission Case is docketed. Commission Technical Staff (Staff) will typically review the application/ waiver request and provide a link to its recommendations when the agenda for the </w:t>
      </w:r>
      <w:proofErr w:type="gramStart"/>
      <w:r w:rsidRPr="00D87F73">
        <w:t>Administrative</w:t>
      </w:r>
      <w:proofErr w:type="gramEnd"/>
      <w:r w:rsidRPr="00D87F73">
        <w:t xml:space="preserve"> hearing is published, which is usually by close of business (COB) on Thursday for the following week's </w:t>
      </w:r>
      <w:r w:rsidRPr="00D87F73">
        <w:lastRenderedPageBreak/>
        <w:t xml:space="preserve">Wednesday Administrative hearing. Typically, the State Agencies and other stakeholders wait for Staff's recommendation to be published before filing their comments which </w:t>
      </w:r>
      <w:proofErr w:type="gramStart"/>
      <w:r w:rsidRPr="00D87F73">
        <w:t>have to</w:t>
      </w:r>
      <w:proofErr w:type="gramEnd"/>
      <w:r w:rsidRPr="00D87F73">
        <w:t xml:space="preserve"> be filed by COB on the Monday before the Wednesday Administrative hearing. Staff will usually reach out to an applicant if there are concerns with a filing beforehand to provide an opportunity for </w:t>
      </w:r>
      <w:proofErr w:type="gramStart"/>
      <w:r w:rsidRPr="00D87F73">
        <w:t>curing</w:t>
      </w:r>
      <w:proofErr w:type="gramEnd"/>
      <w:r w:rsidRPr="00D87F73">
        <w:t xml:space="preserve"> an application. Consent Agenda item approvals are handled expeditiously by the Commission, often with limited or no discussion other than voting on a motion to approve. Items on the regular Administrative Agenda follow the Consent agenda and </w:t>
      </w:r>
      <w:proofErr w:type="gramStart"/>
      <w:r w:rsidRPr="00D87F73">
        <w:t>these</w:t>
      </w:r>
      <w:proofErr w:type="gramEnd"/>
      <w:r w:rsidRPr="00D87F73">
        <w:t xml:space="preserve"> are lengthier discussions, where there may be opposition. Applicants with items on the administrative agenda are expected to attend the administrative meeting in-person to answer Commission questions.</w:t>
      </w:r>
    </w:p>
    <w:p w14:paraId="25CCCAB3" w14:textId="77777777" w:rsidR="00B9730D" w:rsidRDefault="00B9730D"/>
    <w:sectPr w:rsidR="00B97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576F"/>
    <w:multiLevelType w:val="multilevel"/>
    <w:tmpl w:val="197C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B97BBB"/>
    <w:multiLevelType w:val="multilevel"/>
    <w:tmpl w:val="FD20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7355064">
    <w:abstractNumId w:val="0"/>
  </w:num>
  <w:num w:numId="2" w16cid:durableId="150924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73"/>
    <w:rsid w:val="000B4915"/>
    <w:rsid w:val="00174ED5"/>
    <w:rsid w:val="00257A66"/>
    <w:rsid w:val="00475DA2"/>
    <w:rsid w:val="005522D4"/>
    <w:rsid w:val="007958B4"/>
    <w:rsid w:val="007B1D59"/>
    <w:rsid w:val="00953240"/>
    <w:rsid w:val="00B34D43"/>
    <w:rsid w:val="00B9730D"/>
    <w:rsid w:val="00C266D4"/>
    <w:rsid w:val="00D87F73"/>
    <w:rsid w:val="00E4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A1A9"/>
  <w15:chartTrackingRefBased/>
  <w15:docId w15:val="{F6A6AE01-EE65-4AB0-9D09-4EB649C9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F73"/>
    <w:rPr>
      <w:rFonts w:eastAsiaTheme="majorEastAsia" w:cstheme="majorBidi"/>
      <w:color w:val="272727" w:themeColor="text1" w:themeTint="D8"/>
    </w:rPr>
  </w:style>
  <w:style w:type="paragraph" w:styleId="Title">
    <w:name w:val="Title"/>
    <w:basedOn w:val="Normal"/>
    <w:next w:val="Normal"/>
    <w:link w:val="TitleChar"/>
    <w:uiPriority w:val="10"/>
    <w:qFormat/>
    <w:rsid w:val="00D87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F73"/>
    <w:pPr>
      <w:spacing w:before="160"/>
      <w:jc w:val="center"/>
    </w:pPr>
    <w:rPr>
      <w:i/>
      <w:iCs/>
      <w:color w:val="404040" w:themeColor="text1" w:themeTint="BF"/>
    </w:rPr>
  </w:style>
  <w:style w:type="character" w:customStyle="1" w:styleId="QuoteChar">
    <w:name w:val="Quote Char"/>
    <w:basedOn w:val="DefaultParagraphFont"/>
    <w:link w:val="Quote"/>
    <w:uiPriority w:val="29"/>
    <w:rsid w:val="00D87F73"/>
    <w:rPr>
      <w:i/>
      <w:iCs/>
      <w:color w:val="404040" w:themeColor="text1" w:themeTint="BF"/>
    </w:rPr>
  </w:style>
  <w:style w:type="paragraph" w:styleId="ListParagraph">
    <w:name w:val="List Paragraph"/>
    <w:basedOn w:val="Normal"/>
    <w:uiPriority w:val="34"/>
    <w:qFormat/>
    <w:rsid w:val="00D87F73"/>
    <w:pPr>
      <w:ind w:left="720"/>
      <w:contextualSpacing/>
    </w:pPr>
  </w:style>
  <w:style w:type="character" w:styleId="IntenseEmphasis">
    <w:name w:val="Intense Emphasis"/>
    <w:basedOn w:val="DefaultParagraphFont"/>
    <w:uiPriority w:val="21"/>
    <w:qFormat/>
    <w:rsid w:val="00D87F73"/>
    <w:rPr>
      <w:i/>
      <w:iCs/>
      <w:color w:val="0F4761" w:themeColor="accent1" w:themeShade="BF"/>
    </w:rPr>
  </w:style>
  <w:style w:type="paragraph" w:styleId="IntenseQuote">
    <w:name w:val="Intense Quote"/>
    <w:basedOn w:val="Normal"/>
    <w:next w:val="Normal"/>
    <w:link w:val="IntenseQuoteChar"/>
    <w:uiPriority w:val="30"/>
    <w:qFormat/>
    <w:rsid w:val="00D87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F73"/>
    <w:rPr>
      <w:i/>
      <w:iCs/>
      <w:color w:val="0F4761" w:themeColor="accent1" w:themeShade="BF"/>
    </w:rPr>
  </w:style>
  <w:style w:type="character" w:styleId="IntenseReference">
    <w:name w:val="Intense Reference"/>
    <w:basedOn w:val="DefaultParagraphFont"/>
    <w:uiPriority w:val="32"/>
    <w:qFormat/>
    <w:rsid w:val="00D87F73"/>
    <w:rPr>
      <w:b/>
      <w:bCs/>
      <w:smallCaps/>
      <w:color w:val="0F4761" w:themeColor="accent1" w:themeShade="BF"/>
      <w:spacing w:val="5"/>
    </w:rPr>
  </w:style>
  <w:style w:type="character" w:styleId="Hyperlink">
    <w:name w:val="Hyperlink"/>
    <w:basedOn w:val="DefaultParagraphFont"/>
    <w:uiPriority w:val="99"/>
    <w:unhideWhenUsed/>
    <w:rsid w:val="00D87F73"/>
    <w:rPr>
      <w:color w:val="467886" w:themeColor="hyperlink"/>
      <w:u w:val="single"/>
    </w:rPr>
  </w:style>
  <w:style w:type="character" w:styleId="UnresolvedMention">
    <w:name w:val="Unresolved Mention"/>
    <w:basedOn w:val="DefaultParagraphFont"/>
    <w:uiPriority w:val="99"/>
    <w:semiHidden/>
    <w:unhideWhenUsed/>
    <w:rsid w:val="00D87F73"/>
    <w:rPr>
      <w:color w:val="605E5C"/>
      <w:shd w:val="clear" w:color="auto" w:fill="E1DFDD"/>
    </w:rPr>
  </w:style>
  <w:style w:type="paragraph" w:styleId="Revision">
    <w:name w:val="Revision"/>
    <w:hidden/>
    <w:uiPriority w:val="99"/>
    <w:semiHidden/>
    <w:rsid w:val="005522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pscxb.psc.state.md.us/DMS/agend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Thomas</dc:creator>
  <cp:keywords/>
  <dc:description/>
  <cp:lastModifiedBy>Annika Barth</cp:lastModifiedBy>
  <cp:revision>4</cp:revision>
  <dcterms:created xsi:type="dcterms:W3CDTF">2026-01-28T18:57:00Z</dcterms:created>
  <dcterms:modified xsi:type="dcterms:W3CDTF">2026-01-29T18:50:00Z</dcterms:modified>
</cp:coreProperties>
</file>